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7e6d92d4004717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16fd36fce4844050874d8d71bd63e96a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27 May 2024 08:30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Propylene prices march higher in Southeast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Last week, propylene prices gained in the Southeast Asian region while being left unchanged in other parts of Asia.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Asia requesting to remain unidentified informed a Polymerupdate team member, "A slight rise in demand for cargoes slated for arrival in June and reports of improved polypropylene (PP) margins pushed prices higher, though a subdued purchase appetite could restrain the movement of prices on the higher side.”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The source added, “However, producers are generally unwilling to lower offers owing to their margins being pressured, even as availability of spot import cargo is heard to be limited.”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On Friday, CFR Southeast Asia propylene prices on Friday were assessed at the 825-835/mt level, a rise USD (+20/mt) week on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FOB Korea propylene prices were assessed steady at the USD 815-825/mt levels while FOB Japan propylene prices were assessed stable at the USD 820-830/mt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Taiwan propylene prices were assessed at the USD 845-855/mt levels while CFR China propylene prices were assessed at the USD 845-855/mt levels, both steady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plant news, Zhejiang Petrochemical has resumed operations at its No.2 naphtha cracker on May 17. It was under a maintenance turnaround for over a month and a half. It is presently running at full capacity levels. The cracker has a propylene capacity of 700,000 mt/year.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JG Summit Olefins has restarted its cracker. It was shut owing to technical issues on May 13, 2024. Located in Batangas in the Philippines, the cracker has a propylene production capacity of 240,000 mt/year.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16fd36fce4844050874d8d71bd63e96a" /></Relationships>
</file>