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160e8313b8364790"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f325a171b0a14cafb2a6eb0e42cb5b77"/>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13 Oct 2026 14:30 IST</w:t>
      </w:r>
      <w:r>
        <w:rPr>
          <w:rFonts w:ascii="Arial" w:hAnsi="Arial"/>
          <w:b/>
          <w:color w:val="000000"/>
          <w:sz w:val="18"/>
        </w:rPr>
        <w:br/>
      </w:r>
      <w:r>
        <w:rPr>
          <w:rFonts w:ascii="Arial" w:hAnsi="Arial"/>
          <w:b/>
          <w:color w:val="000000"/>
          <w:sz w:val="18"/>
        </w:rPr>
        <w:t xml:space="preserve">India's CPVC Market Faces a New Cost Reality as PVC and Trade Risks Rise</w:t>
      </w:r>
    </w:p>
    <w:p>
      <w:pPr>
        <w:spacing w:before="0" w:after="0"/>
        <w:ind w:left="225" w:right="225"/>
      </w:pPr>
      <w:r>
        <w:rPr>
          <w:rFonts w:ascii="Arial" w:hAnsi="Arial"/>
          <w:i/>
          <w:color w:val="000000"/>
          <w:sz w:val="20"/>
        </w:rPr>
        <w:t xml:space="preserve">Rising feedstock costs, potential trade measures and tighter margins are pushing the value chain toward disciplined pricing and higher-value growth</w:t>
      </w:r>
      <w:r>
        <w:rPr>
          <w:rFonts w:ascii="Arial" w:hAnsi="Arial"/>
          <w:color w:val="000000"/>
          <w:sz w:val="20"/>
        </w:rPr>
        <w:br/>
      </w:r>
      <w:r>
        <w:rPr>
          <w:rFonts w:ascii="Arial" w:hAnsi="Arial"/>
          <w:color w:val="000000"/>
          <w:sz w:val="20"/>
        </w:rPr>
        <w:br/>
      </w:r>
      <w:r>
        <w:rPr>
          <w:rFonts w:ascii="Arial" w:hAnsi="Arial"/>
          <w:color w:val="000000"/>
          <w:sz w:val="20"/>
        </w:rPr>
        <w:t xml:space="preserve">India’s CPVC industry is entering a more demanding phase. Demand remains supported by urbanisation, housing, infrastructure and the shift toward reliable hot- and cold-water piping systems. At the same time, the economics of producing CPVC resin and compound have changed sharply. Higher feedstock and additive costs, currency depreciation, logistics pressures and trade uncertainty are converging just as the market approaches its peak demand season.</w:t>
      </w:r>
      <w:r>
        <w:rPr>
          <w:rFonts w:ascii="Arial" w:hAnsi="Arial"/>
          <w:color w:val="000000"/>
          <w:sz w:val="20"/>
        </w:rPr>
        <w:br/>
      </w:r>
      <w:r>
        <w:rPr>
          <w:rFonts w:ascii="Arial" w:hAnsi="Arial"/>
          <w:color w:val="000000"/>
          <w:sz w:val="20"/>
        </w:rPr>
        <w:br/>
      </w:r>
      <w:r>
        <w:rPr>
          <w:rFonts w:ascii="Arial" w:hAnsi="Arial"/>
          <w:b/>
          <w:color w:val="000000"/>
          <w:sz w:val="20"/>
        </w:rPr>
        <w:t xml:space="preserve">Raw Material costs set the direction</w:t>
      </w:r>
      <w:r>
        <w:rPr>
          <w:rFonts w:ascii="Arial" w:hAnsi="Arial"/>
          <w:color w:val="000000"/>
          <w:sz w:val="20"/>
        </w:rPr>
        <w:br/>
      </w:r>
      <w:r>
        <w:rPr>
          <w:rFonts w:ascii="Arial" w:hAnsi="Arial"/>
          <w:color w:val="000000"/>
          <w:sz w:val="20"/>
        </w:rPr>
        <w:t xml:space="preserve">PVC is the principal feedstock used to manufacture CPVC resin, so a sustained rise in PVC pricing moves quickly through the value chain. In recent months, PVC prices have increased from about INR 67/kg to INR 102/kg. The pressure does not stop at resin. Stabilizer costs have climbed from roughly INR 700/kg to nearly INR 1,200/kg, while impact modifiers, processing aids, pigments, energy, packaging and transportation have also become more expensive. Efficiencies alone cannot offset increases of this magnitude.</w:t>
      </w:r>
      <w:r>
        <w:rPr>
          <w:rFonts w:ascii="Arial" w:hAnsi="Arial"/>
          <w:color w:val="000000"/>
          <w:sz w:val="20"/>
        </w:rPr>
        <w:br/>
      </w:r>
      <w:r>
        <w:rPr>
          <w:rFonts w:ascii="Arial" w:hAnsi="Arial"/>
          <w:color w:val="000000"/>
          <w:sz w:val="20"/>
        </w:rPr>
        <w:br/>
      </w:r>
      <w:r>
        <w:rPr>
          <w:rFonts w:ascii="Arial" w:hAnsi="Arial"/>
          <w:color w:val="000000"/>
          <w:sz w:val="20"/>
        </w:rPr>
        <w:t xml:space="preserve">Currency movement adds another layer of cost because important raw materials and inputs are linked to the US dollar. The INR/USD exchange rate recently touched approximately 96.5, increasing import costs and working-capital requirements. Reflecting this combined pressure, CPVC resin and compound prices rose by around INR 20–30/kg in October 2026, and further increases are likely if raw-material and currency conditions remain adverse.</w:t>
      </w:r>
      <w:r>
        <w:rPr>
          <w:rFonts w:ascii="Arial" w:hAnsi="Arial"/>
          <w:color w:val="000000"/>
          <w:sz w:val="20"/>
        </w:rPr>
        <w:br/>
      </w:r>
      <w:r>
        <w:rPr>
          <w:rFonts w:ascii="Arial" w:hAnsi="Arial"/>
          <w:color w:val="000000"/>
          <w:sz w:val="20"/>
        </w:rPr>
        <w:br/>
      </w:r>
      <w:r>
        <w:rPr>
          <w:rFonts w:ascii="Arial" w:hAnsi="Arial"/>
          <w:b/>
          <w:color w:val="000000"/>
          <w:sz w:val="20"/>
        </w:rPr>
        <w:t xml:space="preserve">Why India's CPVC trade developments matter</w:t>
      </w:r>
      <w:r>
        <w:rPr>
          <w:rFonts w:ascii="Arial" w:hAnsi="Arial"/>
          <w:color w:val="000000"/>
          <w:sz w:val="20"/>
        </w:rPr>
        <w:br/>
      </w:r>
      <w:r>
        <w:rPr>
          <w:rFonts w:ascii="Arial" w:hAnsi="Arial"/>
          <w:color w:val="000000"/>
          <w:sz w:val="20"/>
        </w:rPr>
        <w:t xml:space="preserve">India already applies anti-dumping duties on specified CPVC resin and compounds imported from certain countries. A further investigation has now been initiated into the possible circumvention of duties on Chinese and Korean material through other countries in Asia-Pacific. The proceeding matters because any broader application of trade remedies could raise the landed cost of affected imports, narrow the availability of low-priced material and increase the importance of compliant, dependable domestic supply.</w:t>
      </w:r>
      <w:r>
        <w:rPr>
          <w:rFonts w:ascii="Arial" w:hAnsi="Arial"/>
          <w:color w:val="000000"/>
          <w:sz w:val="20"/>
        </w:rPr>
        <w:br/>
      </w:r>
      <w:r>
        <w:rPr>
          <w:rFonts w:ascii="Arial" w:hAnsi="Arial"/>
          <w:color w:val="000000"/>
          <w:sz w:val="20"/>
        </w:rPr>
        <w:br/>
      </w:r>
      <w:r>
        <w:rPr>
          <w:rFonts w:ascii="Arial" w:hAnsi="Arial"/>
          <w:color w:val="000000"/>
          <w:sz w:val="20"/>
        </w:rPr>
        <w:t xml:space="preserve">Any impact will depend on the final decision, including which countries are covered and the duties imposed. Regulatory uncertainty can influence inventory planning, import contracts and sourcing decisions even before a final decision is announced. It also follows wider international trade action that may redirect cargoes and firm price sentiment across regional markets.</w:t>
      </w:r>
      <w:r>
        <w:rPr>
          <w:rFonts w:ascii="Arial" w:hAnsi="Arial"/>
          <w:color w:val="000000"/>
          <w:sz w:val="20"/>
        </w:rPr>
        <w:br/>
      </w:r>
      <w:r>
        <w:rPr>
          <w:rFonts w:ascii="Arial" w:hAnsi="Arial"/>
          <w:color w:val="000000"/>
          <w:sz w:val="20"/>
        </w:rPr>
        <w:br/>
      </w:r>
      <w:r>
        <w:rPr>
          <w:rFonts w:ascii="Arial" w:hAnsi="Arial"/>
          <w:b/>
          <w:color w:val="000000"/>
          <w:sz w:val="20"/>
        </w:rPr>
        <w:t xml:space="preserve">Price correction is becoming necessary</w:t>
      </w:r>
      <w:r>
        <w:rPr>
          <w:rFonts w:ascii="Arial" w:hAnsi="Arial"/>
          <w:color w:val="000000"/>
          <w:sz w:val="20"/>
        </w:rPr>
        <w:br/>
      </w:r>
      <w:r>
        <w:rPr>
          <w:rFonts w:ascii="Arial" w:hAnsi="Arial"/>
          <w:color w:val="000000"/>
          <w:sz w:val="20"/>
        </w:rPr>
        <w:t xml:space="preserve">Against this backdrop, price correction is becoming unavoidable. While pipe companies generally retain healthy product margins, upstream CPVC resin and compound suppliers have borne a disproportionate share of the recent cost escalation. With feedstock, additives, foreign exchange, freight, financing and compliance all moving unfavourably, CPVC suppliers can no longer absorb additional costs without risking quality, service and supply continuity.</w:t>
      </w:r>
      <w:r>
        <w:rPr>
          <w:rFonts w:ascii="Arial" w:hAnsi="Arial"/>
          <w:color w:val="000000"/>
          <w:sz w:val="20"/>
        </w:rPr>
        <w:br/>
      </w:r>
      <w:r>
        <w:rPr>
          <w:rFonts w:ascii="Arial" w:hAnsi="Arial"/>
          <w:color w:val="000000"/>
          <w:sz w:val="20"/>
        </w:rPr>
        <w:br/>
      </w:r>
      <w:r>
        <w:rPr>
          <w:rFonts w:ascii="Arial" w:hAnsi="Arial"/>
          <w:color w:val="000000"/>
          <w:sz w:val="20"/>
        </w:rPr>
        <w:t xml:space="preserve">Effective implementation requires discipline across the value chain. Companies are shortening quotation validity, reviewing long-term contracts, introducing raw-material or freight adjustment mechanisms, linking increases to dispatch dates and engaging customers earlier on open orders and forecasts.</w:t>
      </w:r>
      <w:r>
        <w:rPr>
          <w:rFonts w:ascii="Arial" w:hAnsi="Arial"/>
          <w:color w:val="000000"/>
          <w:sz w:val="20"/>
        </w:rPr>
        <w:br/>
      </w:r>
      <w:r>
        <w:rPr>
          <w:rFonts w:ascii="Arial" w:hAnsi="Arial"/>
          <w:color w:val="000000"/>
          <w:sz w:val="20"/>
        </w:rPr>
        <w:br/>
      </w:r>
      <w:r>
        <w:rPr>
          <w:rFonts w:ascii="Arial" w:hAnsi="Arial"/>
          <w:b/>
          <w:color w:val="000000"/>
          <w:sz w:val="20"/>
        </w:rPr>
        <w:t xml:space="preserve">Profitability needs to improve beyond price</w:t>
      </w:r>
      <w:r>
        <w:rPr>
          <w:rFonts w:ascii="Arial" w:hAnsi="Arial"/>
          <w:color w:val="000000"/>
          <w:sz w:val="20"/>
        </w:rPr>
        <w:br/>
      </w:r>
      <w:r>
        <w:rPr>
          <w:rFonts w:ascii="Arial" w:hAnsi="Arial"/>
          <w:color w:val="000000"/>
          <w:sz w:val="20"/>
        </w:rPr>
        <w:t xml:space="preserve">The timing increases urgency. Peak demand for CPVC products is expected between November 2026 and March 2027, when construction activity and seasonal purchasing could tighten availability. Shortages are possible if buyers delay commitments or depend heavily on uncertain import channels. Domestic producers such as Lubrizol, DCW and Epigral should be comparatively well placed to continue supplying the market and support rising demand, provided customers share realistic forecasts and plan purchases early.</w:t>
      </w:r>
      <w:r>
        <w:rPr>
          <w:rFonts w:ascii="Arial" w:hAnsi="Arial"/>
          <w:color w:val="000000"/>
          <w:sz w:val="20"/>
        </w:rPr>
        <w:br/>
      </w:r>
      <w:r>
        <w:rPr>
          <w:rFonts w:ascii="Arial" w:hAnsi="Arial"/>
          <w:color w:val="000000"/>
          <w:sz w:val="20"/>
        </w:rPr>
        <w:br/>
      </w:r>
      <w:r>
        <w:rPr>
          <w:rFonts w:ascii="Arial" w:hAnsi="Arial"/>
          <w:color w:val="000000"/>
          <w:sz w:val="20"/>
        </w:rPr>
        <w:t xml:space="preserve">Beyond pricing, sustainable profitability requires manufacturers to reduce formulation and conversion losses, improve plant utilization, optimize energy consumption and tighten production planning. Better forecasting and inventory management can lower emergency freight, reduce working capital and protect service levels. The strongest opportunity is to shift the conversation from cost per kilogram to lifecycle value: reliable CPVC systems reduce the risk of inconsistent processing, premature failure and rework.</w:t>
      </w:r>
      <w:r>
        <w:rPr>
          <w:rFonts w:ascii="Arial" w:hAnsi="Arial"/>
          <w:color w:val="000000"/>
          <w:sz w:val="20"/>
        </w:rPr>
        <w:br/>
      </w:r>
      <w:r>
        <w:rPr>
          <w:rFonts w:ascii="Arial" w:hAnsi="Arial"/>
          <w:color w:val="000000"/>
          <w:sz w:val="20"/>
        </w:rPr>
        <w:br/>
      </w:r>
      <w:r>
        <w:rPr>
          <w:rFonts w:ascii="Arial" w:hAnsi="Arial"/>
          <w:b/>
          <w:color w:val="000000"/>
          <w:sz w:val="20"/>
        </w:rPr>
        <w:t xml:space="preserve">A stronger value-led market</w:t>
      </w:r>
      <w:r>
        <w:rPr>
          <w:rFonts w:ascii="Arial" w:hAnsi="Arial"/>
          <w:color w:val="000000"/>
          <w:sz w:val="20"/>
        </w:rPr>
        <w:br/>
      </w:r>
      <w:r>
        <w:rPr>
          <w:rFonts w:ascii="Arial" w:hAnsi="Arial"/>
          <w:color w:val="000000"/>
          <w:sz w:val="20"/>
        </w:rPr>
        <w:t xml:space="preserve">India remains an attractive long-term CPVC market, but the present cost and regulatory pressures require a move away from price-led commoditization. Companies that communicate cost movements transparently, implement increases consistently, protect supply and compete on system performance will be better positioned for the next phase of growth. Sharing costs more fairly across the value chain can help maintain quality, support investment and strengthen the industry over time.</w:t>
      </w:r>
      <w:r>
        <w:rPr>
          <w:rFonts w:ascii="Arial" w:hAnsi="Arial"/>
          <w:color w:val="000000"/>
          <w:sz w:val="20"/>
        </w:rPr>
        <w:br/>
      </w:r>
      <w:r>
        <w:rPr>
          <w:rFonts w:ascii="Arial" w:hAnsi="Arial"/>
          <w:color w:val="000000"/>
          <w:sz w:val="20"/>
        </w:rPr>
        <w:br/>
      </w:r>
      <w:r>
        <w:rPr>
          <w:rFonts w:ascii="Arial" w:hAnsi="Arial"/>
          <w:b/>
          <w:color w:val="000000"/>
          <w:sz w:val="20"/>
        </w:rPr>
        <w:t xml:space="preserve">Disclaimer:</w:t>
      </w:r>
      <w:r>
        <w:rPr>
          <w:rFonts w:ascii="Arial" w:hAnsi="Arial"/>
          <w:color w:val="000000"/>
          <w:sz w:val="20"/>
        </w:rPr>
        <w:t xml:space="preserve"> "This article has been authored by an independent third party and is published by Polymerupdate solely for informational purposes. Polymerupdate does not claim authorship of the content, nor does its publication imply any endorsement of, or agreement with, the views, opinions, or statements expressed therein."</w:t>
      </w:r>
    </w:p>
  </w:body>
</w:document>
</file>

<file path=word/_rels/document.xml.rels>&#65279;<?xml version="1.0" encoding="utf-8"?><Relationships xmlns="http://schemas.openxmlformats.org/package/2006/relationships"><Relationship Type="http://schemas.openxmlformats.org/officeDocument/2006/relationships/image" Target="/media/image.png" Id="img_f325a171b0a14cafb2a6eb0e42cb5b77" /></Relationships>
</file>